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1C096A67">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于田县斯也克乡北侧育苗基地2024 年中央财政以工代赈项目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项目负责人(签章):阿里木·麦麦提如则</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4</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12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于田县斯也克乡北侧育苗基地2024 年中央财政以工代赈项目</w:t>
      </w:r>
      <w:r>
        <w:rPr>
          <w:rFonts w:hint="eastAsia" w:ascii="仿宋_GB2312"/>
          <w:color w:val="auto"/>
          <w:szCs w:val="32"/>
          <w:highlight w:val="none"/>
        </w:rPr>
        <w:t>方案的批复》（于发改项目（202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8</w:t>
      </w:r>
      <w:r>
        <w:rPr>
          <w:rFonts w:hint="eastAsia" w:ascii="仿宋_GB2312"/>
          <w:color w:val="auto"/>
          <w:szCs w:val="32"/>
          <w:highlight w:val="none"/>
        </w:rPr>
        <w:t>号）文批复立项实施，</w:t>
      </w:r>
      <w:r>
        <w:rPr>
          <w:rFonts w:hint="eastAsia" w:ascii="仿宋_GB2312"/>
          <w:color w:val="auto"/>
          <w:szCs w:val="32"/>
          <w:highlight w:val="none"/>
          <w:lang w:eastAsia="zh-CN"/>
        </w:rPr>
        <w:t>于田县斯也克乡北侧育苗基地2024 年中央财政以工代赈项目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400万元</w:t>
      </w:r>
      <w:r>
        <w:rPr>
          <w:rFonts w:hint="eastAsia" w:ascii="仿宋_GB2312"/>
          <w:color w:val="auto"/>
          <w:szCs w:val="32"/>
          <w:highlight w:val="none"/>
        </w:rPr>
        <w:t>，其中：</w:t>
      </w:r>
      <w:r>
        <w:rPr>
          <w:rFonts w:hint="eastAsia" w:ascii="仿宋_GB2312"/>
          <w:color w:val="auto"/>
          <w:szCs w:val="32"/>
          <w:highlight w:val="none"/>
          <w:lang w:eastAsia="zh-CN"/>
        </w:rPr>
        <w:t>以工代赈资金</w:t>
      </w:r>
      <w:r>
        <w:rPr>
          <w:rFonts w:hint="eastAsia" w:ascii="仿宋_GB2312"/>
          <w:color w:val="auto"/>
          <w:szCs w:val="32"/>
          <w:highlight w:val="none"/>
          <w:lang w:val="en-US" w:eastAsia="zh-CN"/>
        </w:rPr>
        <w:t>400万元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2EECC0F2">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为贯彻落实《新疆维吾尔自治区国民经济和社会发展第十四个五年规划和2035年远景目标纲要》(以下简称《纲要》)和《自治区关于实现巩固拓展衔接攻坚成果同乡村振兴有效衔接的实施意见》(以下简称《实施意见》)部署要求，切实做好“十四五”时期以工代赈工作，进一步发挥以工代赈政策功能作用。自2020年以来，为顺应新形势新任务新要求，在将劳务报酬占中央资金最低比例从10%提高至25%以上的基础上，深入学习贯彻习近平总书记和其他中央领导同志关于以工代赈工作的重要指示批示精神，深刻把握以工代赈“能用人工的尽量不用机械，能用给当地群众的尽量不用专业施工队伍”的政策内涵，聚焦补齐农业农村基础设施短板，围绕“农村公益性基础设施建设+劳务报酬发放+就业技能培训"和“农村产业发展配套基础设施建设+劳务报酬发放+就业技能培训+资产折股量化分红”两类模式，开展了以工代赈巩固衔接成果衔接乡村振兴试点工作，积极拓展就业技能培训、资产收益分红等赈济新模式，为“十四五”以工代赈政策体系和工作体系平稳转型打下了坚实基础。以工代赈是通过组织农村群众参与工程建设获取劳务报酬以取代直接赈济的一项帮扶政策。</w:t>
      </w:r>
    </w:p>
    <w:p w14:paraId="7FB12161">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项目区内只有车辆碾压</w:t>
      </w:r>
      <w:bookmarkStart w:id="0" w:name="_GoBack"/>
      <w:bookmarkEnd w:id="0"/>
      <w:r>
        <w:rPr>
          <w:rFonts w:hint="eastAsia" w:ascii="仿宋_GB2312" w:hAnsi="Times New Roman" w:eastAsia="仿宋_GB2312" w:cs="Times New Roman"/>
          <w:color w:val="auto"/>
          <w:sz w:val="28"/>
          <w:szCs w:val="32"/>
          <w:highlight w:val="none"/>
          <w:lang w:val="zh-CN"/>
        </w:rPr>
        <w:t>的临时田间生产道路坑洼不平，布局较为乱，路面宽度为 2-4 米之间，道路布局不合理，全部为素土路面，浮土较厚，影响机械化作业。</w:t>
      </w:r>
    </w:p>
    <w:p w14:paraId="6A298DE8">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项目区所涉及的辖区内部分农民受家庭因素影响，不能及时外出务工，就业压力大，对已衔接家庭的就业增加了难度，也面临着返贫风险。当地群众对项目建设意愿十分强烈，因此于田县斯也克乡北侧育苗基地2024年中央财政以工代赈项目就是在此背景下提出的。</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由于上述原因开展于田县斯也克乡北侧育苗基地2024 年中央财政以工代赈项目</w:t>
      </w:r>
      <w:r>
        <w:rPr>
          <w:rFonts w:hint="eastAsia" w:ascii="仿宋_GB2312" w:hAnsi="Times New Roman" w:eastAsia="仿宋_GB2312" w:cs="Times New Roman"/>
          <w:color w:val="auto"/>
          <w:sz w:val="28"/>
          <w:szCs w:val="32"/>
          <w:highlight w:val="none"/>
          <w:lang w:val="zh-CN"/>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w:t>
      </w:r>
    </w:p>
    <w:p w14:paraId="28E18DD6">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工程实施后，优化土地利用结构、促进耕地保护、提高节约集约用地水平，有效改善项目区灌溉条件，有效的改善了项目区生态环境,是从根本上解决搬迁群众的衔接发展问题。</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447E771">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rPr>
        <w:t>于田县斯也克乡北侧育苗基地2024 年中央财政以工代赈项目根据于田县发展和改革委员会下发的《关于对于田县斯也克乡北侧育苗基地2024 年中央财政以工代赈项目实施方案的批复》（于发改项目（202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rPr>
        <w:t>号）及该项目实施方案实施，建设地点：斯也克乡</w:t>
      </w:r>
      <w:r>
        <w:rPr>
          <w:rFonts w:hint="eastAsia" w:ascii="仿宋_GB2312" w:hAnsi="Times New Roman" w:eastAsia="仿宋_GB2312" w:cs="Times New Roman"/>
          <w:color w:val="auto"/>
          <w:sz w:val="28"/>
          <w:szCs w:val="32"/>
          <w:highlight w:val="none"/>
          <w:lang w:val="en-US" w:eastAsia="zh-CN"/>
        </w:rPr>
        <w:t>30公里处，建设内容</w:t>
      </w:r>
      <w:r>
        <w:rPr>
          <w:rFonts w:hint="eastAsia" w:ascii="仿宋_GB2312" w:hAnsi="Times New Roman" w:eastAsia="仿宋_GB2312" w:cs="Times New Roman"/>
          <w:color w:val="auto"/>
          <w:sz w:val="28"/>
          <w:szCs w:val="32"/>
          <w:highlight w:val="none"/>
          <w:lang w:val="zh-CN"/>
        </w:rPr>
        <w:t>：土地平整1380亩，田间滴灌1380亩，共1个滴灌系统，蓄水池 1 座，同时新建田间道路</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条，</w:t>
      </w:r>
      <w:r>
        <w:rPr>
          <w:rFonts w:hint="eastAsia" w:ascii="仿宋_GB2312" w:hAnsi="Times New Roman" w:eastAsia="仿宋_GB2312" w:cs="Times New Roman"/>
          <w:color w:val="auto"/>
          <w:sz w:val="28"/>
          <w:szCs w:val="32"/>
          <w:highlight w:val="none"/>
          <w:lang w:val="en-US" w:eastAsia="zh-CN"/>
        </w:rPr>
        <w:t>总长度为3747米，路面宽5.0米，直接铺设30厘米厚砂硕石。</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en-US" w:eastAsia="zh-CN"/>
        </w:rPr>
        <w:t>通过项目实施</w:t>
      </w:r>
      <w:r>
        <w:rPr>
          <w:rFonts w:hint="eastAsia" w:ascii="仿宋_GB2312" w:hAnsi="Times New Roman" w:eastAsia="仿宋_GB2312" w:cs="Times New Roman"/>
          <w:color w:val="auto"/>
          <w:sz w:val="28"/>
          <w:szCs w:val="32"/>
          <w:highlight w:val="none"/>
          <w:lang w:val="zh-CN"/>
        </w:rPr>
        <w:t>优化土地利用结构、促进耕地保护、提高节约集约用地水平，有效改善项目区灌溉条件，有效的改善了项目区生态环境,是从根本上解决搬迁群众的衔接发展问题。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于田县斯也克乡北侧育苗基地2024 年中央财政以工代赈项目性质为</w:t>
      </w:r>
      <w:r>
        <w:rPr>
          <w:rFonts w:hint="eastAsia" w:ascii="仿宋_GB2312" w:hAnsi="Times New Roman" w:eastAsia="仿宋_GB2312" w:cs="Times New Roman"/>
          <w:color w:val="auto"/>
          <w:sz w:val="28"/>
          <w:szCs w:val="32"/>
          <w:highlight w:val="none"/>
          <w:lang w:val="en-US" w:eastAsia="zh-CN"/>
        </w:rPr>
        <w:t>以工代赈示范工程</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于田县斯也克乡北侧育苗基地2024 年中央财政以工代赈项目总投资</w:t>
      </w:r>
      <w:r>
        <w:rPr>
          <w:rFonts w:hint="eastAsia" w:ascii="仿宋_GB2312" w:hAnsi="Times New Roman" w:eastAsia="仿宋_GB2312" w:cs="Times New Roman"/>
          <w:color w:val="auto"/>
          <w:sz w:val="28"/>
          <w:szCs w:val="32"/>
          <w:highlight w:val="none"/>
          <w:lang w:val="en-US" w:eastAsia="zh-CN"/>
        </w:rPr>
        <w:t>400万元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以工代赈资金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：土地平整1380亩，田间滴灌1380亩，共1个滴灌系统，蓄水池 1 座，同时新建田间道路4条，总长度为3747米，路面宽5.0米，直接铺设30厘米厚砂硕石。</w:t>
      </w:r>
    </w:p>
    <w:p w14:paraId="1F2A2444">
      <w:pPr>
        <w:pStyle w:val="54"/>
        <w:spacing w:line="560" w:lineRule="exact"/>
        <w:ind w:left="3" w:right="3" w:firstLine="56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项目总投资的20%用于项目建设劳动报酬，增加农牧民劳动力收入约84万元，受益人数在60人以上。</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通过项目的实施，优化土地利用结构、促进耕地保护、提高节约集约用地水平，有效改善项目区灌溉条件，有效的改善了项目区生态环境,是从根本上解决搬迁群众的</w:t>
      </w:r>
      <w:r>
        <w:rPr>
          <w:rFonts w:hint="eastAsia" w:ascii="仿宋_GB2312" w:cs="Times New Roman"/>
          <w:color w:val="auto"/>
          <w:sz w:val="28"/>
          <w:szCs w:val="32"/>
          <w:highlight w:val="none"/>
          <w:lang w:val="zh-CN"/>
        </w:rPr>
        <w:t>衔接</w:t>
      </w:r>
      <w:r>
        <w:rPr>
          <w:rFonts w:hint="eastAsia" w:ascii="仿宋_GB2312" w:hAnsi="Times New Roman" w:eastAsia="仿宋_GB2312" w:cs="Times New Roman"/>
          <w:color w:val="auto"/>
          <w:sz w:val="28"/>
          <w:szCs w:val="32"/>
          <w:highlight w:val="none"/>
          <w:lang w:val="zh-CN"/>
        </w:rPr>
        <w:t>发展问题</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hint="eastAsia" w:ascii="仿宋_GB2312"/>
          <w:szCs w:val="32"/>
        </w:rPr>
        <w:t>根据《自治区财政专项扶贫资金绩效管理操作指南》（新财预〔2019〕170号）的规定，结合项目具体情况</w:t>
      </w:r>
      <w:r>
        <w:rPr>
          <w:rFonts w:ascii="仿宋_GB2312"/>
          <w:color w:val="auto"/>
          <w:szCs w:val="32"/>
          <w:highlight w:val="none"/>
        </w:rPr>
        <w:t>，</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8</w:t>
      </w:r>
      <w:r>
        <w:rPr>
          <w:rStyle w:val="21"/>
          <w:rFonts w:hint="eastAsia" w:ascii="仿宋_GB2312" w:hAnsi="仿宋"/>
          <w:b w:val="0"/>
          <w:spacing w:val="-4"/>
          <w:szCs w:val="32"/>
        </w:rPr>
        <w:t>个，三级指标</w:t>
      </w:r>
      <w:r>
        <w:rPr>
          <w:rStyle w:val="21"/>
          <w:rFonts w:hint="eastAsia" w:ascii="仿宋_GB2312" w:hAnsi="仿宋"/>
          <w:b w:val="0"/>
          <w:spacing w:val="-4"/>
          <w:szCs w:val="32"/>
          <w:lang w:val="en-US" w:eastAsia="zh-CN"/>
        </w:rPr>
        <w:t>15</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9</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于田县斯也克乡北侧育苗基地2024 年中央财政以工代赈项目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5</w:t>
      </w:r>
      <w:r>
        <w:rPr>
          <w:color w:val="auto"/>
          <w:highlight w:val="none"/>
        </w:rPr>
        <w:t>分，时效指标</w:t>
      </w:r>
      <w:r>
        <w:rPr>
          <w:rFonts w:hint="eastAsia"/>
          <w:color w:val="auto"/>
          <w:highlight w:val="none"/>
          <w:lang w:val="en-US" w:eastAsia="zh-CN"/>
        </w:rPr>
        <w:t>15</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8</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15</w:t>
      </w:r>
      <w:r>
        <w:rPr>
          <w:color w:val="auto"/>
          <w:highlight w:val="none"/>
        </w:rPr>
        <w:t>分、可持续影响指标</w:t>
      </w:r>
      <w:r>
        <w:rPr>
          <w:rFonts w:hint="eastAsia"/>
          <w:color w:val="auto"/>
          <w:highlight w:val="none"/>
          <w:lang w:val="en-US" w:eastAsia="zh-CN"/>
        </w:rPr>
        <w:t>7</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于田县斯也克乡北侧育苗基地2024 年中央财政以工代赈项目</w:t>
      </w:r>
      <w:r>
        <w:rPr>
          <w:rFonts w:hint="eastAsia"/>
          <w:color w:val="auto"/>
          <w:highlight w:val="none"/>
        </w:rPr>
        <w:t>预算安排总额为</w:t>
      </w:r>
      <w:r>
        <w:rPr>
          <w:rFonts w:hint="eastAsia"/>
          <w:color w:val="auto"/>
          <w:highlight w:val="none"/>
          <w:lang w:val="en-US" w:eastAsia="zh-CN"/>
        </w:rPr>
        <w:t>400万元</w:t>
      </w:r>
      <w:r>
        <w:rPr>
          <w:rFonts w:hint="eastAsia"/>
          <w:color w:val="auto"/>
          <w:highlight w:val="none"/>
        </w:rPr>
        <w:t>，其中：</w:t>
      </w:r>
      <w:r>
        <w:rPr>
          <w:rFonts w:hint="eastAsia"/>
          <w:color w:val="auto"/>
          <w:highlight w:val="none"/>
          <w:lang w:val="en-US" w:eastAsia="zh-CN"/>
        </w:rPr>
        <w:t>以工代赈资金400万元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于田县斯也克乡北侧育苗基地2024 年中央财政以工代赈项目</w:t>
      </w:r>
      <w:r>
        <w:rPr>
          <w:rFonts w:hint="eastAsia"/>
          <w:color w:val="auto"/>
          <w:highlight w:val="none"/>
        </w:rPr>
        <w:t>预算投入资金</w:t>
      </w:r>
      <w:r>
        <w:rPr>
          <w:rFonts w:hint="eastAsia"/>
          <w:color w:val="auto"/>
          <w:highlight w:val="none"/>
          <w:lang w:val="en-US" w:eastAsia="zh-CN"/>
        </w:rPr>
        <w:t>400万元</w:t>
      </w:r>
      <w:r>
        <w:rPr>
          <w:rFonts w:hint="eastAsia"/>
          <w:color w:val="auto"/>
          <w:highlight w:val="none"/>
        </w:rPr>
        <w:t>，经财务决算，项目实际完成投资共</w:t>
      </w:r>
      <w:r>
        <w:rPr>
          <w:rFonts w:hint="eastAsia"/>
          <w:color w:val="auto"/>
          <w:highlight w:val="none"/>
          <w:lang w:val="en-US" w:eastAsia="zh-CN"/>
        </w:rPr>
        <w:t>385.37</w:t>
      </w:r>
      <w:r>
        <w:rPr>
          <w:rFonts w:hint="eastAsia"/>
          <w:color w:val="auto"/>
          <w:highlight w:val="none"/>
        </w:rPr>
        <w:t>万元，其中：建筑安装工程投资</w:t>
      </w:r>
      <w:r>
        <w:rPr>
          <w:rFonts w:hint="eastAsia"/>
          <w:color w:val="auto"/>
          <w:highlight w:val="none"/>
          <w:lang w:val="en-US" w:eastAsia="zh-CN"/>
        </w:rPr>
        <w:t>348.61</w:t>
      </w:r>
      <w:r>
        <w:rPr>
          <w:rFonts w:hint="eastAsia"/>
          <w:color w:val="auto"/>
          <w:highlight w:val="none"/>
        </w:rPr>
        <w:t>万元，待摊投资</w:t>
      </w:r>
      <w:r>
        <w:rPr>
          <w:rFonts w:hint="eastAsia"/>
          <w:color w:val="auto"/>
          <w:highlight w:val="none"/>
          <w:lang w:val="en-US" w:eastAsia="zh-CN"/>
        </w:rPr>
        <w:t>36.76</w:t>
      </w:r>
      <w:r>
        <w:rPr>
          <w:rFonts w:hint="eastAsia"/>
          <w:color w:val="auto"/>
          <w:highlight w:val="none"/>
        </w:rPr>
        <w:t>万元；实际工程</w:t>
      </w:r>
      <w:r>
        <w:rPr>
          <w:rFonts w:hint="eastAsia"/>
          <w:color w:val="auto"/>
          <w:highlight w:val="none"/>
          <w:lang w:val="en-US" w:eastAsia="zh-CN"/>
        </w:rPr>
        <w:t>节</w:t>
      </w:r>
      <w:r>
        <w:rPr>
          <w:rFonts w:hint="eastAsia"/>
          <w:color w:val="auto"/>
          <w:highlight w:val="none"/>
        </w:rPr>
        <w:t>概资金</w:t>
      </w:r>
      <w:r>
        <w:rPr>
          <w:rFonts w:hint="eastAsia"/>
          <w:color w:val="auto"/>
          <w:highlight w:val="none"/>
          <w:lang w:val="en-US" w:eastAsia="zh-CN"/>
        </w:rPr>
        <w:t>14.63</w:t>
      </w:r>
      <w:r>
        <w:rPr>
          <w:rFonts w:hint="eastAsia"/>
          <w:color w:val="auto"/>
          <w:highlight w:val="none"/>
        </w:rPr>
        <w:t>万元</w:t>
      </w:r>
      <w:r>
        <w:rPr>
          <w:rFonts w:hint="eastAsia"/>
          <w:color w:val="auto"/>
          <w:highlight w:val="none"/>
          <w:lang w:val="en-US" w:eastAsia="zh-CN"/>
        </w:rPr>
        <w:t>财政收回</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385.37</w:t>
      </w:r>
      <w:r>
        <w:rPr>
          <w:rFonts w:hint="eastAsia"/>
          <w:color w:val="auto"/>
          <w:highlight w:val="none"/>
        </w:rPr>
        <w:t>万元</w:t>
      </w:r>
      <w:r>
        <w:rPr>
          <w:rStyle w:val="21"/>
          <w:rFonts w:hint="eastAsia" w:ascii="仿宋_GB2312" w:hAnsi="仿宋"/>
          <w:b w:val="0"/>
          <w:color w:val="auto"/>
          <w:spacing w:val="-4"/>
          <w:szCs w:val="32"/>
          <w:highlight w:val="none"/>
        </w:rPr>
        <w:t>。</w:t>
      </w:r>
      <w:r>
        <w:rPr>
          <w:rFonts w:hint="eastAsia"/>
          <w:color w:val="auto"/>
          <w:highlight w:val="none"/>
        </w:rPr>
        <w:t>预算资金执行率</w:t>
      </w:r>
      <w:r>
        <w:rPr>
          <w:rFonts w:hint="eastAsia"/>
          <w:color w:val="auto"/>
          <w:highlight w:val="none"/>
          <w:lang w:val="en-US" w:eastAsia="zh-CN"/>
        </w:rPr>
        <w:t>96.34</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月底，土地平整1380亩，田间滴灌1380亩，共1个滴灌系统，蓄水池 1 座，同时新建田间道路4条，总长度为3747米，路面宽5.0米，直接铺设30厘米厚砂硕石。该工程已完成竣工验收，资产</w:t>
      </w:r>
      <w:r>
        <w:rPr>
          <w:rFonts w:hint="eastAsia" w:ascii="仿宋_GB2312" w:hAnsi="Times New Roman" w:eastAsia="仿宋_GB2312" w:cs="Times New Roman"/>
          <w:color w:val="auto"/>
          <w:sz w:val="28"/>
          <w:szCs w:val="32"/>
          <w:highlight w:val="none"/>
          <w:lang w:val="en-US" w:eastAsia="zh-CN"/>
        </w:rPr>
        <w:t>由</w:t>
      </w:r>
      <w:r>
        <w:rPr>
          <w:rFonts w:hint="eastAsia" w:ascii="仿宋_GB2312" w:hAnsi="Times New Roman" w:eastAsia="仿宋_GB2312" w:cs="Times New Roman"/>
          <w:color w:val="auto"/>
          <w:sz w:val="28"/>
          <w:szCs w:val="32"/>
          <w:highlight w:val="none"/>
          <w:lang w:val="zh-CN" w:eastAsia="zh-CN"/>
        </w:rPr>
        <w:t>于田县阗林生态伟业有限公司</w:t>
      </w:r>
      <w:r>
        <w:rPr>
          <w:rFonts w:hint="eastAsia" w:ascii="仿宋_GB2312" w:hAnsi="Times New Roman" w:eastAsia="仿宋_GB2312" w:cs="Times New Roman"/>
          <w:color w:val="auto"/>
          <w:sz w:val="28"/>
          <w:szCs w:val="32"/>
          <w:highlight w:val="none"/>
          <w:lang w:val="en-US" w:eastAsia="zh-CN"/>
        </w:rPr>
        <w:t>心</w:t>
      </w:r>
      <w:r>
        <w:rPr>
          <w:rFonts w:hint="eastAsia" w:ascii="仿宋_GB2312" w:hAnsi="Times New Roman" w:eastAsia="仿宋_GB2312" w:cs="Times New Roman"/>
          <w:color w:val="auto"/>
          <w:sz w:val="28"/>
          <w:szCs w:val="32"/>
          <w:highlight w:val="none"/>
          <w:lang w:val="zh-CN"/>
        </w:rPr>
        <w:t>负责运行，维护</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本项目</w:t>
      </w:r>
      <w:r>
        <w:rPr>
          <w:rFonts w:hint="eastAsia" w:ascii="仿宋_GB2312" w:hAnsi="Times New Roman" w:eastAsia="仿宋_GB2312" w:cs="Times New Roman"/>
          <w:color w:val="auto"/>
          <w:sz w:val="28"/>
          <w:szCs w:val="32"/>
          <w:highlight w:val="none"/>
          <w:lang w:val="zh-CN"/>
        </w:rPr>
        <w:t>是以城镇美、家园绿、建设绿色和谐乡</w:t>
      </w:r>
      <w:r>
        <w:rPr>
          <w:rFonts w:hint="eastAsia" w:ascii="仿宋_GB2312" w:hAnsi="Times New Roman" w:eastAsia="仿宋_GB2312" w:cs="Times New Roman"/>
          <w:color w:val="auto"/>
          <w:sz w:val="28"/>
          <w:szCs w:val="32"/>
          <w:highlight w:val="none"/>
          <w:lang w:val="en-US" w:eastAsia="zh-CN"/>
        </w:rPr>
        <w:t>村振兴</w:t>
      </w:r>
      <w:r>
        <w:rPr>
          <w:rFonts w:hint="eastAsia" w:ascii="仿宋_GB2312" w:hAnsi="Times New Roman" w:eastAsia="仿宋_GB2312" w:cs="Times New Roman"/>
          <w:color w:val="auto"/>
          <w:sz w:val="28"/>
          <w:szCs w:val="32"/>
          <w:highlight w:val="none"/>
          <w:lang w:val="zh-CN"/>
        </w:rPr>
        <w:t>为目标，通过项目实施，使周边乃至全县人民受益，促进当地经济可持续发展。</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个，三级指标15个，其中已完成三级指标</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60</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“土地平整及配套滴灌面积”指标，预期指标值为</w:t>
      </w:r>
      <w:r>
        <w:rPr>
          <w:rFonts w:hint="eastAsia"/>
          <w:color w:val="auto"/>
          <w:highlight w:val="none"/>
          <w:lang w:eastAsia="zh-CN"/>
        </w:rPr>
        <w:t>大于等于</w:t>
      </w:r>
      <w:r>
        <w:rPr>
          <w:rFonts w:hint="eastAsia"/>
          <w:color w:val="auto"/>
          <w:highlight w:val="none"/>
          <w:lang w:val="en-US" w:eastAsia="zh-CN"/>
        </w:rPr>
        <w:t>1380</w:t>
      </w:r>
      <w:r>
        <w:rPr>
          <w:rFonts w:hint="eastAsia"/>
          <w:color w:val="auto"/>
          <w:highlight w:val="none"/>
        </w:rPr>
        <w:t>亩,全年实际值为</w:t>
      </w:r>
      <w:r>
        <w:rPr>
          <w:rFonts w:hint="eastAsia"/>
          <w:color w:val="auto"/>
          <w:highlight w:val="none"/>
          <w:lang w:val="en-US" w:eastAsia="zh-CN"/>
        </w:rPr>
        <w:t>1380</w:t>
      </w:r>
      <w:r>
        <w:rPr>
          <w:rFonts w:hint="eastAsia"/>
          <w:color w:val="auto"/>
          <w:highlight w:val="none"/>
        </w:rPr>
        <w:t>亩，指标完成率为100.00%;所设分值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“新建</w:t>
      </w:r>
      <w:r>
        <w:rPr>
          <w:rFonts w:hint="eastAsia"/>
          <w:color w:val="auto"/>
          <w:highlight w:val="none"/>
          <w:lang w:val="en-US" w:eastAsia="zh-CN"/>
        </w:rPr>
        <w:t>蓄水池数量</w:t>
      </w:r>
      <w:r>
        <w:rPr>
          <w:rFonts w:hint="eastAsia"/>
          <w:color w:val="auto"/>
          <w:highlight w:val="none"/>
        </w:rPr>
        <w:t>”指标，预期指标值为</w:t>
      </w:r>
      <w:r>
        <w:rPr>
          <w:rFonts w:hint="eastAsia"/>
          <w:color w:val="auto"/>
          <w:highlight w:val="none"/>
          <w:lang w:eastAsia="zh-CN"/>
        </w:rPr>
        <w:t>等于</w:t>
      </w:r>
      <w:r>
        <w:rPr>
          <w:rFonts w:hint="eastAsia"/>
          <w:color w:val="auto"/>
          <w:highlight w:val="none"/>
          <w:lang w:val="en-US" w:eastAsia="zh-CN"/>
        </w:rPr>
        <w:t>1座</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1座</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“新建10kv输电线路长度”指标，预期指标值为</w:t>
      </w:r>
      <w:r>
        <w:rPr>
          <w:rFonts w:hint="eastAsia"/>
          <w:color w:val="auto"/>
          <w:highlight w:val="none"/>
          <w:lang w:eastAsia="zh-CN"/>
        </w:rPr>
        <w:t>等于</w:t>
      </w:r>
      <w:r>
        <w:rPr>
          <w:rFonts w:hint="eastAsia"/>
          <w:color w:val="auto"/>
          <w:highlight w:val="none"/>
          <w:lang w:val="en-US" w:eastAsia="zh-CN"/>
        </w:rPr>
        <w:t>2千米</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2千米</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614009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“新建田间道路</w:t>
      </w:r>
      <w:r>
        <w:rPr>
          <w:rFonts w:hint="eastAsia"/>
          <w:color w:val="auto"/>
          <w:highlight w:val="none"/>
          <w:lang w:val="en-US" w:eastAsia="zh-CN"/>
        </w:rPr>
        <w:t>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2条</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2条</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“工程验收合格率”指标，预期指标值为100.00%,全年实际值为100.00%，指标完成率为100.00%。所设分值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31DF002">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资金及时支付率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“工程开工时间”指标，预期指标值为202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2</w:t>
      </w:r>
      <w:r>
        <w:rPr>
          <w:rFonts w:hint="eastAsia"/>
          <w:color w:val="auto"/>
          <w:highlight w:val="none"/>
        </w:rPr>
        <w:t>月，指标完成率为100.00%。所设分值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4.99</w:t>
      </w:r>
      <w:r>
        <w:rPr>
          <w:rFonts w:hint="eastAsia"/>
          <w:color w:val="auto"/>
          <w:highlight w:val="none"/>
        </w:rPr>
        <w:t>分。</w:t>
      </w:r>
    </w:p>
    <w:p w14:paraId="010BD258">
      <w:pPr>
        <w:pStyle w:val="54"/>
        <w:spacing w:line="560" w:lineRule="exact"/>
        <w:ind w:left="0" w:leftChars="0" w:right="0" w:rightChars="0" w:firstLine="560"/>
        <w:rPr>
          <w:rFonts w:hint="eastAsia"/>
          <w:color w:val="auto"/>
          <w:highlight w:val="none"/>
        </w:rPr>
      </w:pPr>
      <w:r>
        <w:rPr>
          <w:rFonts w:hint="eastAsia"/>
          <w:color w:val="auto"/>
          <w:highlight w:val="none"/>
        </w:rPr>
        <w:t>偏差原因：招投标提提前，项目提前一个月开工。</w:t>
      </w:r>
    </w:p>
    <w:p w14:paraId="28CBD3B9">
      <w:pPr>
        <w:pStyle w:val="54"/>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02D6994F">
      <w:pPr>
        <w:pStyle w:val="54"/>
        <w:spacing w:line="560" w:lineRule="exact"/>
        <w:ind w:left="0" w:leftChars="0" w:right="0" w:rightChars="0" w:firstLine="560"/>
        <w:rPr>
          <w:rFonts w:hint="eastAsia"/>
          <w:color w:val="auto"/>
          <w:highlight w:val="none"/>
        </w:rPr>
      </w:pPr>
      <w:r>
        <w:rPr>
          <w:rFonts w:hint="eastAsia"/>
          <w:color w:val="auto"/>
          <w:highlight w:val="none"/>
        </w:rPr>
        <w:t>“工程完工时间”指标，预期指标值为202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4.99</w:t>
      </w:r>
      <w:r>
        <w:rPr>
          <w:rFonts w:hint="eastAsia"/>
          <w:color w:val="auto"/>
          <w:highlight w:val="none"/>
        </w:rPr>
        <w:t>分。</w:t>
      </w:r>
    </w:p>
    <w:p w14:paraId="7C4257ED">
      <w:pPr>
        <w:pStyle w:val="54"/>
        <w:spacing w:line="560" w:lineRule="exact"/>
        <w:ind w:left="0" w:leftChars="0" w:right="0" w:rightChars="0" w:firstLine="560"/>
        <w:rPr>
          <w:rFonts w:hint="eastAsia"/>
          <w:color w:val="auto"/>
          <w:highlight w:val="none"/>
        </w:rPr>
      </w:pPr>
      <w:r>
        <w:rPr>
          <w:rFonts w:hint="eastAsia"/>
          <w:color w:val="auto"/>
          <w:highlight w:val="none"/>
        </w:rPr>
        <w:t>偏差原因：项目提前一个月开工，提前一个月完工。</w:t>
      </w:r>
    </w:p>
    <w:p w14:paraId="55CDD60C">
      <w:pPr>
        <w:pStyle w:val="54"/>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“建筑工程成本”指标，预期指标值为</w:t>
      </w:r>
      <w:r>
        <w:rPr>
          <w:rFonts w:hint="eastAsia"/>
          <w:color w:val="auto"/>
          <w:highlight w:val="none"/>
          <w:lang w:eastAsia="zh-CN"/>
        </w:rPr>
        <w:t>小于等于</w:t>
      </w:r>
      <w:r>
        <w:rPr>
          <w:rFonts w:hint="eastAsia"/>
          <w:color w:val="auto"/>
          <w:highlight w:val="none"/>
          <w:lang w:val="en-US" w:eastAsia="zh-CN"/>
        </w:rPr>
        <w:t>363.5</w:t>
      </w:r>
      <w:r>
        <w:rPr>
          <w:rFonts w:hint="eastAsia"/>
          <w:color w:val="auto"/>
          <w:highlight w:val="none"/>
        </w:rPr>
        <w:t>万元, 全年实际值为</w:t>
      </w:r>
      <w:r>
        <w:rPr>
          <w:rFonts w:hint="eastAsia"/>
          <w:color w:val="auto"/>
          <w:highlight w:val="none"/>
          <w:lang w:val="en-US" w:eastAsia="zh-CN"/>
        </w:rPr>
        <w:t>348.61</w:t>
      </w:r>
      <w:r>
        <w:rPr>
          <w:rFonts w:hint="eastAsia"/>
          <w:color w:val="auto"/>
          <w:highlight w:val="none"/>
        </w:rPr>
        <w:t>万元，指标完成率为</w:t>
      </w:r>
      <w:r>
        <w:rPr>
          <w:rFonts w:hint="eastAsia"/>
          <w:color w:val="auto"/>
          <w:highlight w:val="none"/>
          <w:lang w:val="en-US" w:eastAsia="zh-CN"/>
        </w:rPr>
        <w:t>95.9%</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88B69CC">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偏差原因：项目已按时完工、验收，相关评估决算已完成，项目总投资385.37万元，结余资金退回财政。</w:t>
      </w:r>
    </w:p>
    <w:p w14:paraId="54255812">
      <w:pPr>
        <w:pStyle w:val="54"/>
        <w:spacing w:line="560" w:lineRule="exact"/>
        <w:ind w:left="0" w:leftChars="0" w:right="0" w:rightChars="0" w:firstLine="560"/>
        <w:rPr>
          <w:rFonts w:hint="default" w:eastAsia="仿宋_GB2312"/>
          <w:color w:val="auto"/>
          <w:highlight w:val="none"/>
          <w:lang w:val="en-US" w:eastAsia="zh-CN"/>
        </w:rPr>
      </w:pPr>
      <w:r>
        <w:rPr>
          <w:rFonts w:hint="eastAsia"/>
          <w:color w:val="auto"/>
          <w:highlight w:val="none"/>
          <w:lang w:val="en-US" w:eastAsia="zh-CN"/>
        </w:rPr>
        <w:t>改进措施：按照乡村振兴衔接资金项目管理办法，加强对项目进度实时监督。持续发挥资产扶持效益，促进当地经济可持续发展。</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“其他成本”指标，预期指标值为</w:t>
      </w:r>
      <w:r>
        <w:rPr>
          <w:rFonts w:hint="eastAsia"/>
          <w:color w:val="auto"/>
          <w:highlight w:val="none"/>
          <w:lang w:eastAsia="zh-CN"/>
        </w:rPr>
        <w:t>小于等于</w:t>
      </w:r>
      <w:r>
        <w:rPr>
          <w:rFonts w:hint="eastAsia"/>
          <w:color w:val="auto"/>
          <w:highlight w:val="none"/>
          <w:lang w:val="en-US" w:eastAsia="zh-CN"/>
        </w:rPr>
        <w:t>36.5</w:t>
      </w:r>
      <w:r>
        <w:rPr>
          <w:rFonts w:hint="eastAsia"/>
          <w:color w:val="auto"/>
          <w:highlight w:val="none"/>
        </w:rPr>
        <w:t>万元, 全年实际值为</w:t>
      </w:r>
      <w:r>
        <w:rPr>
          <w:rFonts w:hint="eastAsia"/>
          <w:color w:val="auto"/>
          <w:highlight w:val="none"/>
          <w:lang w:eastAsia="zh-CN"/>
        </w:rPr>
        <w:t>等于</w:t>
      </w:r>
      <w:r>
        <w:rPr>
          <w:rFonts w:hint="eastAsia"/>
          <w:color w:val="auto"/>
          <w:highlight w:val="none"/>
          <w:lang w:val="en-US" w:eastAsia="zh-CN"/>
        </w:rPr>
        <w:t>36.76</w:t>
      </w:r>
      <w:r>
        <w:rPr>
          <w:rFonts w:hint="eastAsia"/>
          <w:color w:val="auto"/>
          <w:highlight w:val="none"/>
        </w:rPr>
        <w:t>万元，指标完成率为</w:t>
      </w:r>
      <w:r>
        <w:rPr>
          <w:rFonts w:hint="eastAsia"/>
          <w:color w:val="auto"/>
          <w:highlight w:val="none"/>
          <w:lang w:val="en-US" w:eastAsia="zh-CN"/>
        </w:rPr>
        <w:t>99</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4.95</w:t>
      </w:r>
      <w:r>
        <w:rPr>
          <w:rFonts w:hint="eastAsia"/>
          <w:color w:val="auto"/>
          <w:highlight w:val="none"/>
        </w:rPr>
        <w:t>分。</w:t>
      </w:r>
    </w:p>
    <w:p w14:paraId="3FF7627F">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偏差原因：项目已按时完工、验收，相关评估决算已完成，项目总投资385.37万元，结余资金退回财政。</w:t>
      </w:r>
    </w:p>
    <w:p w14:paraId="090F2738">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改进措施：按照乡村振兴衔接资金项目管理办法，加强对项目进度实时监督。持续发挥资产扶持效益，促进当地经济可持续发展。</w:t>
      </w:r>
    </w:p>
    <w:p w14:paraId="0074FF9D">
      <w:pPr>
        <w:pStyle w:val="35"/>
        <w:rPr>
          <w:b/>
          <w:bCs w:val="0"/>
          <w:color w:val="auto"/>
          <w:highlight w:val="none"/>
        </w:rPr>
      </w:pPr>
      <w:r>
        <w:rPr>
          <w:rFonts w:hint="eastAsia"/>
          <w:b/>
          <w:bCs w:val="0"/>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“带动增加脱贫人口及劳动者全年总收入”指标，指标预期值为大于等于84万元，实际完成值为</w:t>
      </w:r>
      <w:r>
        <w:rPr>
          <w:rFonts w:hint="eastAsia"/>
          <w:color w:val="auto"/>
          <w:highlight w:val="none"/>
          <w:lang w:val="en-US" w:eastAsia="zh-CN"/>
        </w:rPr>
        <w:t>84</w:t>
      </w:r>
      <w:r>
        <w:rPr>
          <w:rFonts w:hint="default"/>
          <w:color w:val="auto"/>
          <w:highlight w:val="none"/>
          <w:lang w:val="en-US" w:eastAsia="zh-CN"/>
        </w:rPr>
        <w:t>万元，指标完成率为100.00%。所设分值</w:t>
      </w:r>
      <w:r>
        <w:rPr>
          <w:rFonts w:hint="eastAsia"/>
          <w:color w:val="auto"/>
          <w:highlight w:val="none"/>
          <w:lang w:val="en-US" w:eastAsia="zh-CN"/>
        </w:rPr>
        <w:t>8</w:t>
      </w:r>
      <w:r>
        <w:rPr>
          <w:rFonts w:hint="default"/>
          <w:color w:val="auto"/>
          <w:highlight w:val="none"/>
          <w:lang w:val="en-US" w:eastAsia="zh-CN"/>
        </w:rPr>
        <w:t>分，实际得分</w:t>
      </w:r>
      <w:r>
        <w:rPr>
          <w:rFonts w:hint="eastAsia"/>
          <w:color w:val="auto"/>
          <w:highlight w:val="none"/>
          <w:lang w:val="en-US" w:eastAsia="zh-CN"/>
        </w:rPr>
        <w:t>8</w:t>
      </w:r>
      <w:r>
        <w:rPr>
          <w:rFonts w:hint="default"/>
          <w:color w:val="auto"/>
          <w:highlight w:val="none"/>
          <w:lang w:val="en-US" w:eastAsia="zh-CN"/>
        </w:rPr>
        <w:t>分。</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项目实施的社会效益分析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“受益异地搬迁</w:t>
      </w:r>
      <w:r>
        <w:rPr>
          <w:rFonts w:hint="default"/>
          <w:color w:val="auto"/>
          <w:highlight w:val="none"/>
          <w:lang w:val="en-US" w:eastAsia="zh-CN"/>
        </w:rPr>
        <w:t>脱贫</w:t>
      </w:r>
      <w:r>
        <w:rPr>
          <w:rFonts w:hint="eastAsia"/>
          <w:color w:val="auto"/>
          <w:highlight w:val="none"/>
          <w:lang w:val="en-US" w:eastAsia="zh-CN"/>
        </w:rPr>
        <w:t>人口数”指标，指标预期值为大于等于11人，实际完成值为等于13人，指标完成率为98%。所设分值8分，实际得分7.84分。</w:t>
      </w:r>
    </w:p>
    <w:p w14:paraId="60F2A33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偏差原因：实际项目所需劳动者105人，其中受益建档立卡衔接人口数13人。</w:t>
      </w:r>
    </w:p>
    <w:p w14:paraId="1ACA4B7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改进措施：加强项目管理，做好项目前期调研。</w:t>
      </w:r>
    </w:p>
    <w:p w14:paraId="1BA9DBC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“受益劳动者人口数”指标，指标预期值为大于等于55人，实际完成值为等于105人，指标完成率为95%。所设分值7分，实际得分6.65分。</w:t>
      </w:r>
    </w:p>
    <w:p w14:paraId="17376685">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偏差原因：实际项目所需劳动者105人，其中受益建档立卡衔接人口数13人。</w:t>
      </w:r>
    </w:p>
    <w:p w14:paraId="2AA6227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改进措施：加强项目管理，做好项目前期调研。</w:t>
      </w:r>
    </w:p>
    <w:p w14:paraId="528003A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2.项目实施的可持续影响分析。</w:t>
      </w:r>
    </w:p>
    <w:p w14:paraId="3B0FCC3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 xml:space="preserve"> “提高节约集约用地水平及土地生产力”指标，指标预期值为长期，实际完成值为长期，指标完成率为100.00%。所设分值7分，实际得分7分。</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“受益村民群众满意度”指标，指标预期值为大于等于95%，实际完成值为95%，指标完成率为100.00%。所设分值10分，实际得分10分。</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项目实施完成后我单位就该项目的满意度采取抽样发放调查问卷的方式开展调查，通过对调查问卷的梳理和统计，受益村民群众满意度为95.00%。</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02EA1869">
      <w:pPr>
        <w:pStyle w:val="54"/>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1.时效指标-</w:t>
      </w:r>
      <w:r>
        <w:rPr>
          <w:rFonts w:hint="eastAsia" w:ascii="仿宋_GB2312"/>
          <w:color w:val="auto"/>
          <w:spacing w:val="-4"/>
          <w:szCs w:val="32"/>
          <w:highlight w:val="none"/>
        </w:rPr>
        <w:t>“</w:t>
      </w:r>
      <w:r>
        <w:rPr>
          <w:rFonts w:hint="eastAsia" w:ascii="仿宋_GB2312"/>
          <w:color w:val="auto"/>
          <w:spacing w:val="-4"/>
          <w:szCs w:val="32"/>
          <w:highlight w:val="none"/>
          <w:lang w:val="en-US" w:eastAsia="zh-CN"/>
        </w:rPr>
        <w:t>工程开工时间</w:t>
      </w:r>
      <w:r>
        <w:rPr>
          <w:rFonts w:hint="eastAsia" w:ascii="仿宋_GB2312"/>
          <w:color w:val="auto"/>
          <w:spacing w:val="-4"/>
          <w:szCs w:val="32"/>
          <w:highlight w:val="none"/>
        </w:rPr>
        <w:t>”指标，预期指标值为</w:t>
      </w:r>
      <w:r>
        <w:rPr>
          <w:rFonts w:hint="eastAsia" w:ascii="仿宋_GB2312"/>
          <w:color w:val="auto"/>
          <w:spacing w:val="-4"/>
          <w:szCs w:val="32"/>
          <w:highlight w:val="none"/>
          <w:lang w:val="en-US" w:eastAsia="zh-CN"/>
        </w:rPr>
        <w:t>2024年3月</w:t>
      </w:r>
      <w:r>
        <w:rPr>
          <w:rFonts w:hint="eastAsia" w:ascii="仿宋_GB2312"/>
          <w:color w:val="auto"/>
          <w:spacing w:val="-4"/>
          <w:szCs w:val="32"/>
          <w:highlight w:val="none"/>
        </w:rPr>
        <w:t>, 全年实际值为</w:t>
      </w:r>
      <w:r>
        <w:rPr>
          <w:rFonts w:hint="eastAsia" w:ascii="仿宋_GB2312"/>
          <w:color w:val="auto"/>
          <w:spacing w:val="-4"/>
          <w:szCs w:val="32"/>
          <w:highlight w:val="none"/>
          <w:lang w:val="en-US" w:eastAsia="zh-CN"/>
        </w:rPr>
        <w:t>2024年2月。</w:t>
      </w:r>
    </w:p>
    <w:p w14:paraId="62D0C2D8">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偏差原因：项目提前一个月开工。</w:t>
      </w:r>
    </w:p>
    <w:p w14:paraId="3D04550C">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5C5D6C93">
      <w:pPr>
        <w:pStyle w:val="54"/>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2.时效指标-</w:t>
      </w:r>
      <w:r>
        <w:rPr>
          <w:rFonts w:hint="eastAsia" w:ascii="仿宋_GB2312"/>
          <w:color w:val="auto"/>
          <w:spacing w:val="-4"/>
          <w:szCs w:val="32"/>
          <w:highlight w:val="none"/>
        </w:rPr>
        <w:t>“</w:t>
      </w:r>
      <w:r>
        <w:rPr>
          <w:rFonts w:hint="eastAsia" w:ascii="仿宋_GB2312"/>
          <w:color w:val="auto"/>
          <w:spacing w:val="-4"/>
          <w:szCs w:val="32"/>
          <w:highlight w:val="none"/>
          <w:lang w:val="en-US" w:eastAsia="zh-CN"/>
        </w:rPr>
        <w:t>工程完工时间</w:t>
      </w:r>
      <w:r>
        <w:rPr>
          <w:rFonts w:hint="eastAsia" w:ascii="仿宋_GB2312"/>
          <w:color w:val="auto"/>
          <w:spacing w:val="-4"/>
          <w:szCs w:val="32"/>
          <w:highlight w:val="none"/>
        </w:rPr>
        <w:t>”指标，预期指标值为</w:t>
      </w:r>
      <w:r>
        <w:rPr>
          <w:rFonts w:hint="eastAsia" w:ascii="仿宋_GB2312"/>
          <w:color w:val="auto"/>
          <w:spacing w:val="-4"/>
          <w:szCs w:val="32"/>
          <w:highlight w:val="none"/>
          <w:lang w:val="en-US" w:eastAsia="zh-CN"/>
        </w:rPr>
        <w:t>2024年9月</w:t>
      </w:r>
      <w:r>
        <w:rPr>
          <w:rFonts w:hint="eastAsia" w:ascii="仿宋_GB2312"/>
          <w:color w:val="auto"/>
          <w:spacing w:val="-4"/>
          <w:szCs w:val="32"/>
          <w:highlight w:val="none"/>
        </w:rPr>
        <w:t>, 全年实际值为</w:t>
      </w:r>
      <w:r>
        <w:rPr>
          <w:rFonts w:hint="eastAsia" w:ascii="仿宋_GB2312"/>
          <w:color w:val="auto"/>
          <w:spacing w:val="-4"/>
          <w:szCs w:val="32"/>
          <w:highlight w:val="none"/>
          <w:lang w:val="en-US" w:eastAsia="zh-CN"/>
        </w:rPr>
        <w:t>2024年8月。</w:t>
      </w:r>
    </w:p>
    <w:p w14:paraId="217F54F0">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偏差原因：项目提前一个月开工，提前一个月完工。</w:t>
      </w:r>
    </w:p>
    <w:p w14:paraId="478B6DE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r>
        <w:rPr>
          <w:rFonts w:hint="eastAsia" w:ascii="仿宋_GB2312"/>
          <w:color w:val="auto"/>
          <w:spacing w:val="-4"/>
          <w:szCs w:val="32"/>
          <w:highlight w:val="none"/>
          <w:lang w:eastAsia="zh-CN"/>
        </w:rPr>
        <w:t>。</w:t>
      </w:r>
    </w:p>
    <w:p w14:paraId="62CE3668">
      <w:pPr>
        <w:pStyle w:val="54"/>
        <w:spacing w:line="560" w:lineRule="exact"/>
        <w:ind w:left="3" w:right="3" w:firstLine="552"/>
        <w:rPr>
          <w:rFonts w:hint="eastAsia" w:ascii="仿宋_GB2312" w:eastAsia="仿宋_GB2312"/>
          <w:color w:val="auto"/>
          <w:spacing w:val="-4"/>
          <w:szCs w:val="32"/>
          <w:highlight w:val="none"/>
          <w:lang w:eastAsia="zh-CN"/>
        </w:rPr>
      </w:pPr>
      <w:r>
        <w:rPr>
          <w:rFonts w:hint="eastAsia" w:ascii="仿宋_GB2312"/>
          <w:color w:val="auto"/>
          <w:spacing w:val="-4"/>
          <w:szCs w:val="32"/>
          <w:highlight w:val="none"/>
          <w:lang w:val="en-US" w:eastAsia="zh-CN"/>
        </w:rPr>
        <w:t>3</w:t>
      </w:r>
      <w:r>
        <w:rPr>
          <w:rFonts w:hint="eastAsia" w:ascii="仿宋_GB2312"/>
          <w:color w:val="auto"/>
          <w:spacing w:val="-4"/>
          <w:szCs w:val="32"/>
          <w:highlight w:val="none"/>
        </w:rPr>
        <w:t>.成本指标-“建筑工程成本”指标，预期指标值为小于等于363.5万元, 全年实际值为348.61万元</w:t>
      </w:r>
      <w:r>
        <w:rPr>
          <w:rFonts w:hint="eastAsia" w:ascii="仿宋_GB2312"/>
          <w:color w:val="auto"/>
          <w:spacing w:val="-4"/>
          <w:szCs w:val="32"/>
          <w:highlight w:val="none"/>
          <w:lang w:eastAsia="zh-CN"/>
        </w:rPr>
        <w:t>。</w:t>
      </w:r>
    </w:p>
    <w:p w14:paraId="76FFBA55">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w:t>
      </w:r>
      <w:r>
        <w:rPr>
          <w:rFonts w:hint="eastAsia" w:ascii="仿宋_GB2312"/>
          <w:color w:val="auto"/>
          <w:spacing w:val="-4"/>
          <w:szCs w:val="32"/>
          <w:highlight w:val="none"/>
          <w:lang w:val="en-US" w:eastAsia="zh-CN"/>
        </w:rPr>
        <w:t>差</w:t>
      </w:r>
      <w:r>
        <w:rPr>
          <w:rFonts w:hint="eastAsia" w:ascii="仿宋_GB2312"/>
          <w:color w:val="auto"/>
          <w:spacing w:val="-4"/>
          <w:szCs w:val="32"/>
          <w:highlight w:val="none"/>
        </w:rPr>
        <w:t>原因：项目已按时完工、验收，相关评估决算已完成，项目总投资385.37万元，结余资金退回财政。</w:t>
      </w:r>
    </w:p>
    <w:p w14:paraId="67FC2B58">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改进措施：按照乡村振兴衔接资金项目管理办法，加强对项目进度实时监督。持续发挥资产扶持效益，促进当地经济可持续发展。</w:t>
      </w:r>
    </w:p>
    <w:p w14:paraId="3D079451">
      <w:pPr>
        <w:pStyle w:val="54"/>
        <w:spacing w:line="560" w:lineRule="exact"/>
        <w:ind w:left="3" w:right="3" w:firstLine="552"/>
        <w:rPr>
          <w:rFonts w:hint="eastAsia" w:ascii="仿宋_GB2312" w:eastAsia="仿宋_GB2312"/>
          <w:color w:val="auto"/>
          <w:spacing w:val="-4"/>
          <w:szCs w:val="32"/>
          <w:highlight w:val="none"/>
          <w:lang w:eastAsia="zh-CN"/>
        </w:rPr>
      </w:pPr>
      <w:r>
        <w:rPr>
          <w:rFonts w:hint="eastAsia" w:ascii="仿宋_GB2312"/>
          <w:color w:val="auto"/>
          <w:spacing w:val="-4"/>
          <w:szCs w:val="32"/>
          <w:highlight w:val="none"/>
          <w:lang w:val="en-US" w:eastAsia="zh-CN"/>
        </w:rPr>
        <w:t>4.</w:t>
      </w:r>
      <w:r>
        <w:rPr>
          <w:rFonts w:hint="eastAsia" w:ascii="仿宋_GB2312"/>
          <w:color w:val="auto"/>
          <w:spacing w:val="-4"/>
          <w:szCs w:val="32"/>
          <w:highlight w:val="none"/>
        </w:rPr>
        <w:t>“其他成本”指标，预期指标值为小于等于36.5万元, 全年实际值为等于36.76万元</w:t>
      </w:r>
      <w:r>
        <w:rPr>
          <w:rFonts w:hint="eastAsia" w:ascii="仿宋_GB2312"/>
          <w:color w:val="auto"/>
          <w:spacing w:val="-4"/>
          <w:szCs w:val="32"/>
          <w:highlight w:val="none"/>
          <w:lang w:eastAsia="zh-CN"/>
        </w:rPr>
        <w:t>。</w:t>
      </w:r>
    </w:p>
    <w:p w14:paraId="285C33E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偏离原因：项目已按时完工、验收，相关评估决算已完成，项目总投资385.37万元，结余资金退回财政。</w:t>
      </w:r>
    </w:p>
    <w:p w14:paraId="7626B98A">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改进措施：按照乡村振兴衔接资金项目管理办法，加强对项目进度实时监督。持续发挥资产扶持效益，促进当地经济可持续发展。</w:t>
      </w:r>
    </w:p>
    <w:p w14:paraId="70DD0C25">
      <w:pPr>
        <w:pStyle w:val="54"/>
        <w:numPr>
          <w:ilvl w:val="0"/>
          <w:numId w:val="0"/>
        </w:numPr>
        <w:spacing w:line="560" w:lineRule="exact"/>
        <w:ind w:right="3" w:rightChars="1" w:firstLine="544" w:firstLineChars="20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5.“受益异地搬迁衔接人口数”指标，指标预期值为大于等于11人，实际完成值为等于13人。</w:t>
      </w:r>
    </w:p>
    <w:p w14:paraId="0F74E713">
      <w:pPr>
        <w:pStyle w:val="54"/>
        <w:numPr>
          <w:ilvl w:val="0"/>
          <w:numId w:val="0"/>
        </w:numPr>
        <w:spacing w:line="560" w:lineRule="exact"/>
        <w:ind w:right="3" w:rightChars="1" w:firstLine="544" w:firstLineChars="20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偏差原因：实际项目所需劳动者105人，其中受益建档立卡衔接人口数13人。</w:t>
      </w:r>
    </w:p>
    <w:p w14:paraId="37ADBA81">
      <w:pPr>
        <w:pStyle w:val="54"/>
        <w:spacing w:line="560" w:lineRule="exact"/>
        <w:ind w:left="3" w:right="3" w:firstLine="552"/>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改进措施：加强项目管理，做好项目前期调研。</w:t>
      </w:r>
    </w:p>
    <w:p w14:paraId="39A4FF53">
      <w:pPr>
        <w:pStyle w:val="54"/>
        <w:numPr>
          <w:ilvl w:val="0"/>
          <w:numId w:val="0"/>
        </w:numPr>
        <w:spacing w:line="560" w:lineRule="exact"/>
        <w:ind w:right="3" w:rightChars="1" w:firstLine="544" w:firstLineChars="20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6.“受益劳动者人口数”指标，指标预期值为大于等于55人，实际完成值为等于105人，指标完成率为100.00%。</w:t>
      </w:r>
    </w:p>
    <w:p w14:paraId="72C50153">
      <w:pPr>
        <w:pStyle w:val="54"/>
        <w:numPr>
          <w:ilvl w:val="0"/>
          <w:numId w:val="0"/>
        </w:numPr>
        <w:spacing w:line="560" w:lineRule="exact"/>
        <w:ind w:right="3" w:rightChars="1" w:firstLine="544" w:firstLineChars="20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偏差原因：实际项目所需劳动者105人，其中受益建档立卡衔接人口数13人。</w:t>
      </w:r>
    </w:p>
    <w:p w14:paraId="4BC3522E">
      <w:pPr>
        <w:pStyle w:val="54"/>
        <w:numPr>
          <w:ilvl w:val="0"/>
          <w:numId w:val="0"/>
        </w:numPr>
        <w:spacing w:line="560" w:lineRule="exact"/>
        <w:ind w:right="3" w:rightChars="1" w:firstLine="544" w:firstLineChars="20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改进措施：加强项目管理，做好项目前期调研。</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于田县斯也克乡北侧育苗基地2024 年中央财政以工代赈项目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15</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9</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60</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于田县斯也克乡北侧育苗基地2024 年中央财政以工代赈项目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98.85</w:t>
      </w:r>
      <w:r>
        <w:rPr>
          <w:rFonts w:hint="eastAsia" w:ascii="仿宋_GB2312"/>
          <w:color w:val="auto"/>
          <w:spacing w:val="-4"/>
          <w:szCs w:val="32"/>
          <w:highlight w:val="none"/>
        </w:rPr>
        <w:t>分，评价等级为优。</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于田县斯也克乡北侧育苗基地2024 年中央财政以工代赈项目</w:t>
      </w:r>
      <w:r>
        <w:rPr>
          <w:rFonts w:hint="eastAsia" w:ascii="仿宋_GB2312"/>
          <w:color w:val="auto"/>
          <w:highlight w:val="none"/>
        </w:rPr>
        <w:t>方案的批复》（于发改项目（202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8</w:t>
      </w:r>
      <w:r>
        <w:rPr>
          <w:rFonts w:hint="eastAsia" w:ascii="仿宋_GB2312"/>
          <w:color w:val="auto"/>
          <w:highlight w:val="none"/>
        </w:rPr>
        <w:t>号）。</w:t>
      </w:r>
    </w:p>
    <w:p w14:paraId="46E5C53B">
      <w:pPr>
        <w:pStyle w:val="54"/>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以工代赈资金</w:t>
      </w:r>
      <w:r>
        <w:rPr>
          <w:rFonts w:hint="eastAsia" w:ascii="仿宋_GB2312"/>
          <w:color w:val="auto"/>
          <w:highlight w:val="none"/>
        </w:rPr>
        <w:t>，文件依据：</w:t>
      </w:r>
      <w:r>
        <w:rPr>
          <w:rFonts w:hint="eastAsia" w:ascii="仿宋_GB2312"/>
          <w:color w:val="auto"/>
          <w:highlight w:val="none"/>
          <w:lang w:eastAsia="zh-CN"/>
        </w:rPr>
        <w:t>于田县发展和改革委员会</w:t>
      </w:r>
      <w:r>
        <w:rPr>
          <w:rFonts w:hint="eastAsia" w:ascii="仿宋_GB2312"/>
          <w:color w:val="auto"/>
          <w:highlight w:val="none"/>
          <w:lang w:val="en-US" w:eastAsia="zh-CN"/>
        </w:rPr>
        <w:t>关于下达2024年中央财政以工代赈任务计划的通知</w:t>
      </w:r>
      <w:r>
        <w:rPr>
          <w:rFonts w:hint="eastAsia" w:ascii="仿宋_GB2312"/>
          <w:color w:val="auto"/>
          <w:highlight w:val="none"/>
        </w:rPr>
        <w:t>》（于发改</w:t>
      </w:r>
      <w:r>
        <w:rPr>
          <w:rFonts w:hint="eastAsia" w:ascii="仿宋_GB2312"/>
          <w:color w:val="auto"/>
          <w:highlight w:val="none"/>
          <w:lang w:val="en-US" w:eastAsia="zh-CN"/>
        </w:rPr>
        <w:t>农经</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3</w:t>
      </w:r>
      <w:r>
        <w:rPr>
          <w:rFonts w:hint="eastAsia" w:ascii="仿宋_GB2312"/>
          <w:color w:val="auto"/>
          <w:highlight w:val="none"/>
        </w:rPr>
        <w:t>号）。</w:t>
      </w:r>
    </w:p>
    <w:p w14:paraId="451F5A4D">
      <w:pPr>
        <w:pStyle w:val="54"/>
        <w:spacing w:line="560" w:lineRule="exact"/>
        <w:ind w:left="3" w:right="3" w:firstLine="560"/>
        <w:rPr>
          <w:rFonts w:hint="eastAsia"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1</w:t>
      </w:r>
      <w:r>
        <w:rPr>
          <w:rFonts w:hint="eastAsia" w:ascii="仿宋_GB2312"/>
          <w:color w:val="auto"/>
          <w:highlight w:val="none"/>
        </w:rPr>
        <w:t>月</w:t>
      </w:r>
      <w:r>
        <w:rPr>
          <w:rFonts w:hint="eastAsia" w:ascii="仿宋_GB2312"/>
          <w:color w:val="auto"/>
          <w:highlight w:val="none"/>
          <w:lang w:val="en-US" w:eastAsia="zh-CN"/>
        </w:rPr>
        <w:t>12日</w:t>
      </w:r>
      <w:r>
        <w:rPr>
          <w:rFonts w:hint="eastAsia" w:ascii="仿宋_GB2312"/>
          <w:color w:val="auto"/>
          <w:highlight w:val="none"/>
        </w:rPr>
        <w:t>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w:t>
      </w:r>
      <w:r>
        <w:rPr>
          <w:rFonts w:hint="eastAsia" w:ascii="仿宋_GB2312"/>
          <w:color w:val="auto"/>
          <w:highlight w:val="none"/>
          <w:lang w:val="en-US" w:eastAsia="zh-CN"/>
        </w:rPr>
        <w:t>5</w:t>
      </w:r>
      <w:r>
        <w:rPr>
          <w:rFonts w:hint="eastAsia" w:ascii="仿宋_GB2312"/>
          <w:color w:val="auto"/>
          <w:highlight w:val="none"/>
        </w:rPr>
        <w:t>日</w:t>
      </w:r>
      <w:r>
        <w:rPr>
          <w:rFonts w:hint="eastAsia" w:ascii="仿宋_GB2312"/>
          <w:color w:val="auto"/>
          <w:highlight w:val="none"/>
          <w:lang w:val="en-US" w:eastAsia="zh-CN"/>
        </w:rPr>
        <w:t>开标</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年2月1</w:t>
      </w:r>
      <w:r>
        <w:rPr>
          <w:rFonts w:hint="eastAsia" w:ascii="仿宋_GB2312"/>
          <w:color w:val="auto"/>
          <w:highlight w:val="none"/>
          <w:lang w:val="en-US" w:eastAsia="zh-CN"/>
        </w:rPr>
        <w:t>9</w:t>
      </w:r>
      <w:r>
        <w:rPr>
          <w:rFonts w:hint="eastAsia" w:ascii="仿宋_GB2312"/>
          <w:color w:val="auto"/>
          <w:highlight w:val="none"/>
        </w:rPr>
        <w:t>日</w:t>
      </w:r>
      <w:r>
        <w:rPr>
          <w:rFonts w:hint="eastAsia" w:ascii="仿宋_GB2312"/>
          <w:color w:val="auto"/>
          <w:highlight w:val="none"/>
          <w:lang w:val="en-US" w:eastAsia="zh-CN"/>
        </w:rPr>
        <w:t>确定施工单位</w:t>
      </w:r>
      <w:r>
        <w:rPr>
          <w:rFonts w:hint="eastAsia" w:ascii="仿宋_GB2312"/>
          <w:color w:val="auto"/>
          <w:highlight w:val="none"/>
        </w:rPr>
        <w:t>签订施工合同，20</w:t>
      </w:r>
      <w:r>
        <w:rPr>
          <w:rFonts w:hint="eastAsia" w:ascii="仿宋_GB2312"/>
          <w:color w:val="auto"/>
          <w:highlight w:val="none"/>
          <w:lang w:val="en-US" w:eastAsia="zh-CN"/>
        </w:rPr>
        <w:t>24</w:t>
      </w:r>
      <w:r>
        <w:rPr>
          <w:rFonts w:hint="eastAsia" w:ascii="仿宋_GB2312"/>
          <w:color w:val="auto"/>
          <w:highlight w:val="none"/>
        </w:rPr>
        <w:t>年3月开始拨付工程款，202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8</w:t>
      </w:r>
      <w:r>
        <w:rPr>
          <w:rFonts w:hint="eastAsia" w:ascii="仿宋_GB2312"/>
          <w:color w:val="auto"/>
          <w:highlight w:val="none"/>
        </w:rPr>
        <w:t>月完成</w:t>
      </w:r>
      <w:r>
        <w:rPr>
          <w:rFonts w:hint="eastAsia" w:ascii="仿宋_GB2312"/>
          <w:color w:val="auto"/>
          <w:highlight w:val="none"/>
          <w:lang w:val="en-US" w:eastAsia="zh-CN"/>
        </w:rPr>
        <w:t>自</w:t>
      </w:r>
      <w:r>
        <w:rPr>
          <w:rFonts w:hint="eastAsia" w:ascii="仿宋_GB2312"/>
          <w:color w:val="auto"/>
          <w:highlight w:val="none"/>
        </w:rPr>
        <w:t>验</w:t>
      </w:r>
      <w:r>
        <w:rPr>
          <w:rFonts w:hint="eastAsia" w:ascii="仿宋_GB2312"/>
          <w:color w:val="auto"/>
          <w:highlight w:val="none"/>
          <w:lang w:eastAsia="zh-CN"/>
        </w:rPr>
        <w:t>，</w:t>
      </w:r>
      <w:r>
        <w:rPr>
          <w:rFonts w:hint="eastAsia" w:ascii="仿宋_GB2312"/>
          <w:color w:val="auto"/>
          <w:highlight w:val="none"/>
          <w:lang w:val="en-US" w:eastAsia="zh-CN"/>
        </w:rPr>
        <w:t>10月完成联合验收</w:t>
      </w:r>
      <w:r>
        <w:rPr>
          <w:rFonts w:hint="eastAsia" w:ascii="仿宋_GB2312"/>
          <w:color w:val="auto"/>
          <w:highlight w:val="none"/>
        </w:rPr>
        <w:t>。</w:t>
      </w:r>
    </w:p>
    <w:p w14:paraId="7B1582B1">
      <w:pPr>
        <w:pStyle w:val="54"/>
        <w:spacing w:line="560" w:lineRule="exact"/>
        <w:ind w:left="3" w:right="3" w:firstLine="560"/>
        <w:rPr>
          <w:rFonts w:hint="eastAsia"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2024年10月9</w:t>
      </w:r>
      <w:r>
        <w:rPr>
          <w:rFonts w:hint="eastAsia" w:ascii="仿宋_GB2312"/>
          <w:color w:val="auto"/>
          <w:highlight w:val="none"/>
        </w:rPr>
        <w:t>日于田县发展和改革委员会，于田</w:t>
      </w:r>
      <w:r>
        <w:rPr>
          <w:rFonts w:hint="eastAsia" w:ascii="仿宋_GB2312"/>
          <w:color w:val="auto"/>
          <w:highlight w:val="none"/>
          <w:lang w:eastAsia="zh-CN"/>
        </w:rPr>
        <w:t>县发展和改革委员会</w:t>
      </w:r>
      <w:r>
        <w:rPr>
          <w:rFonts w:hint="eastAsia" w:ascii="仿宋_GB2312"/>
          <w:color w:val="auto"/>
          <w:highlight w:val="none"/>
          <w:lang w:val="en-US" w:eastAsia="zh-CN"/>
        </w:rPr>
        <w:t>，</w:t>
      </w:r>
      <w:r>
        <w:rPr>
          <w:rFonts w:hint="eastAsia" w:ascii="仿宋_GB2312"/>
          <w:color w:val="auto"/>
          <w:highlight w:val="none"/>
        </w:rPr>
        <w:t>乡村振兴局，财政局，</w:t>
      </w:r>
      <w:r>
        <w:rPr>
          <w:rFonts w:hint="eastAsia" w:ascii="仿宋_GB2312"/>
          <w:color w:val="auto"/>
          <w:highlight w:val="none"/>
          <w:lang w:val="en-US" w:eastAsia="zh-CN"/>
        </w:rPr>
        <w:t>水利局，</w:t>
      </w:r>
      <w:r>
        <w:rPr>
          <w:rFonts w:hint="eastAsia" w:ascii="仿宋_GB2312"/>
          <w:color w:val="auto"/>
          <w:highlight w:val="none"/>
        </w:rPr>
        <w:t>档案局和参建单位联合竣工验收结果状况：合格。</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于田县斯也克乡北侧育苗基地2024年中央财政以工代赈项目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于田县斯也克乡北侧育苗基地2024年中央财政以工代赈项目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2693817"/>
    <w:rsid w:val="07322E14"/>
    <w:rsid w:val="0EA0480A"/>
    <w:rsid w:val="23B77EF2"/>
    <w:rsid w:val="244F6A5A"/>
    <w:rsid w:val="2E694E76"/>
    <w:rsid w:val="31523460"/>
    <w:rsid w:val="31674BE4"/>
    <w:rsid w:val="34EF419F"/>
    <w:rsid w:val="36657C06"/>
    <w:rsid w:val="392F6D8D"/>
    <w:rsid w:val="3E982E81"/>
    <w:rsid w:val="4037219F"/>
    <w:rsid w:val="40AA57C4"/>
    <w:rsid w:val="485A725E"/>
    <w:rsid w:val="4B110D0E"/>
    <w:rsid w:val="4EF3230B"/>
    <w:rsid w:val="55CE7228"/>
    <w:rsid w:val="56A43B97"/>
    <w:rsid w:val="62923AAE"/>
    <w:rsid w:val="62C0120F"/>
    <w:rsid w:val="6F9A5078"/>
    <w:rsid w:val="7BAB7456"/>
    <w:rsid w:val="7FAC4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7085</Words>
  <Characters>7652</Characters>
  <Lines>9</Lines>
  <Paragraphs>15</Paragraphs>
  <TotalTime>2</TotalTime>
  <ScaleCrop>false</ScaleCrop>
  <LinksUpToDate>false</LinksUpToDate>
  <CharactersWithSpaces>7971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2025-12-15T09:35:43Z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